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ajorEastAsia" w:hAnsiTheme="majorEastAsia" w:eastAsiaTheme="majorEastAsia" w:cstheme="majorEastAsia"/>
          <w:b/>
          <w:bCs/>
          <w:color w:val="auto"/>
          <w:sz w:val="44"/>
          <w:szCs w:val="52"/>
          <w:lang w:eastAsia="zh-CN"/>
        </w:rPr>
      </w:pPr>
      <w:r>
        <w:rPr>
          <w:rFonts w:hint="eastAsia" w:asciiTheme="majorEastAsia" w:hAnsiTheme="majorEastAsia" w:eastAsiaTheme="majorEastAsia" w:cstheme="majorEastAsia"/>
          <w:b/>
          <w:bCs/>
          <w:i w:val="0"/>
          <w:iCs w:val="0"/>
          <w:caps w:val="0"/>
          <w:color w:val="auto"/>
          <w:spacing w:val="0"/>
          <w:sz w:val="44"/>
          <w:szCs w:val="44"/>
          <w:shd w:val="clear" w:fill="FFFFFF"/>
        </w:rPr>
        <w:t>《</w:t>
      </w:r>
      <w:r>
        <w:rPr>
          <w:rFonts w:hint="eastAsia" w:asciiTheme="majorEastAsia" w:hAnsiTheme="majorEastAsia" w:eastAsiaTheme="majorEastAsia" w:cstheme="majorEastAsia"/>
          <w:b/>
          <w:bCs/>
          <w:color w:val="auto"/>
          <w:sz w:val="44"/>
          <w:szCs w:val="52"/>
          <w:lang w:eastAsia="zh-CN"/>
        </w:rPr>
        <w:t>新蔡县工业投资项目“拿地即开工”改革</w:t>
      </w:r>
    </w:p>
    <w:p>
      <w:pPr>
        <w:jc w:val="center"/>
        <w:rPr>
          <w:rFonts w:hint="eastAsia" w:asciiTheme="majorEastAsia" w:hAnsiTheme="majorEastAsia" w:eastAsiaTheme="majorEastAsia" w:cstheme="majorEastAsia"/>
          <w:b/>
          <w:bCs/>
          <w:color w:val="auto"/>
          <w:sz w:val="44"/>
          <w:szCs w:val="44"/>
          <w:lang w:eastAsia="zh-CN"/>
        </w:rPr>
      </w:pPr>
      <w:r>
        <w:rPr>
          <w:rFonts w:hint="eastAsia" w:asciiTheme="majorEastAsia" w:hAnsiTheme="majorEastAsia" w:eastAsiaTheme="majorEastAsia" w:cstheme="majorEastAsia"/>
          <w:b/>
          <w:bCs/>
          <w:color w:val="auto"/>
          <w:sz w:val="44"/>
          <w:szCs w:val="52"/>
          <w:lang w:eastAsia="zh-CN"/>
        </w:rPr>
        <w:t>实施方案（试行）</w:t>
      </w:r>
      <w:r>
        <w:rPr>
          <w:rFonts w:hint="eastAsia" w:asciiTheme="majorEastAsia" w:hAnsiTheme="majorEastAsia" w:eastAsiaTheme="majorEastAsia" w:cstheme="majorEastAsia"/>
          <w:b/>
          <w:bCs/>
          <w:i w:val="0"/>
          <w:iCs w:val="0"/>
          <w:caps w:val="0"/>
          <w:color w:val="auto"/>
          <w:spacing w:val="0"/>
          <w:sz w:val="44"/>
          <w:szCs w:val="44"/>
          <w:shd w:val="clear" w:fill="FFFFFF"/>
        </w:rPr>
        <w:t>》</w:t>
      </w:r>
      <w:r>
        <w:rPr>
          <w:rFonts w:hint="eastAsia" w:asciiTheme="majorEastAsia" w:hAnsiTheme="majorEastAsia" w:eastAsiaTheme="majorEastAsia" w:cstheme="majorEastAsia"/>
          <w:b/>
          <w:bCs/>
          <w:i w:val="0"/>
          <w:iCs w:val="0"/>
          <w:caps w:val="0"/>
          <w:color w:val="auto"/>
          <w:spacing w:val="0"/>
          <w:sz w:val="44"/>
          <w:szCs w:val="44"/>
          <w:shd w:val="clear" w:fill="FFFFFF"/>
          <w:lang w:eastAsia="zh-CN"/>
        </w:rPr>
        <w:t>政策解读</w:t>
      </w:r>
    </w:p>
    <w:p>
      <w:pPr>
        <w:ind w:firstLine="696" w:firstLineChars="200"/>
        <w:rPr>
          <w:rFonts w:hint="eastAsia" w:ascii="仿宋" w:hAnsi="仿宋" w:eastAsia="仿宋" w:cs="仿宋"/>
          <w:i w:val="0"/>
          <w:iCs w:val="0"/>
          <w:caps w:val="0"/>
          <w:color w:val="auto"/>
          <w:spacing w:val="14"/>
          <w:sz w:val="32"/>
          <w:szCs w:val="32"/>
          <w:shd w:val="clear" w:color="auto" w:fill="FFFFFF"/>
          <w:vertAlign w:val="baseline"/>
          <w:lang w:eastAsia="zh-CN"/>
        </w:rPr>
      </w:pPr>
    </w:p>
    <w:p>
      <w:pPr>
        <w:ind w:firstLine="696" w:firstLineChars="200"/>
        <w:rPr>
          <w:rFonts w:hint="eastAsia" w:ascii="仿宋" w:hAnsi="仿宋" w:eastAsia="仿宋" w:cs="仿宋"/>
          <w:i w:val="0"/>
          <w:iCs w:val="0"/>
          <w:caps w:val="0"/>
          <w:color w:val="auto"/>
          <w:spacing w:val="14"/>
          <w:sz w:val="32"/>
          <w:szCs w:val="32"/>
          <w:shd w:val="clear" w:color="auto" w:fill="FFFFFF"/>
          <w:vertAlign w:val="baseline"/>
          <w:lang w:eastAsia="zh-CN"/>
        </w:rPr>
      </w:pPr>
      <w:r>
        <w:rPr>
          <w:rFonts w:hint="eastAsia" w:ascii="仿宋" w:hAnsi="仿宋" w:eastAsia="仿宋" w:cs="仿宋"/>
          <w:i w:val="0"/>
          <w:iCs w:val="0"/>
          <w:caps w:val="0"/>
          <w:color w:val="auto"/>
          <w:spacing w:val="14"/>
          <w:sz w:val="32"/>
          <w:szCs w:val="32"/>
          <w:shd w:val="clear" w:color="auto" w:fill="FFFFFF"/>
          <w:vertAlign w:val="baseline"/>
          <w:lang w:eastAsia="zh-CN"/>
        </w:rPr>
        <w:t>为进一步推动我县工业投资项目工程建设项目审批流程再优化，提升审批效率，构建科学、便捷、高效的工程建设项目审批和管理体系，根据县政府领导指示批示精神，县自然资源局会同县先进制造业开发区管委会、县发改委、县住建局等有关部门起草了《新蔡县工业投资项目“拿地即开工”改革实施方案（试行）》(以下称《方案》)。</w:t>
      </w:r>
    </w:p>
    <w:p>
      <w:pPr>
        <w:numPr>
          <w:ilvl w:val="0"/>
          <w:numId w:val="1"/>
        </w:numPr>
        <w:ind w:firstLine="698" w:firstLineChars="200"/>
        <w:rPr>
          <w:rFonts w:hint="eastAsia" w:ascii="仿宋" w:hAnsi="仿宋" w:eastAsia="仿宋" w:cs="仿宋"/>
          <w:b/>
          <w:bCs/>
          <w:i w:val="0"/>
          <w:iCs w:val="0"/>
          <w:caps w:val="0"/>
          <w:color w:val="auto"/>
          <w:spacing w:val="14"/>
          <w:sz w:val="32"/>
          <w:szCs w:val="32"/>
          <w:shd w:val="clear" w:color="auto" w:fill="FFFFFF"/>
          <w:vertAlign w:val="baseline"/>
          <w:lang w:eastAsia="zh-CN"/>
        </w:rPr>
      </w:pPr>
      <w:r>
        <w:rPr>
          <w:rFonts w:hint="eastAsia" w:ascii="仿宋" w:hAnsi="仿宋" w:eastAsia="仿宋" w:cs="仿宋"/>
          <w:b/>
          <w:bCs/>
          <w:i w:val="0"/>
          <w:iCs w:val="0"/>
          <w:caps w:val="0"/>
          <w:color w:val="auto"/>
          <w:spacing w:val="14"/>
          <w:sz w:val="32"/>
          <w:szCs w:val="32"/>
          <w:shd w:val="clear" w:color="auto" w:fill="FFFFFF"/>
          <w:vertAlign w:val="baseline"/>
          <w:lang w:eastAsia="zh-CN"/>
        </w:rPr>
        <w:t>出台背景</w:t>
      </w:r>
    </w:p>
    <w:p>
      <w:pPr>
        <w:numPr>
          <w:ilvl w:val="0"/>
          <w:numId w:val="0"/>
        </w:numPr>
        <w:ind w:firstLine="696" w:firstLineChars="200"/>
        <w:rPr>
          <w:rFonts w:hint="eastAsia" w:ascii="仿宋" w:hAnsi="仿宋" w:eastAsia="仿宋" w:cs="仿宋"/>
          <w:i w:val="0"/>
          <w:iCs w:val="0"/>
          <w:caps w:val="0"/>
          <w:color w:val="auto"/>
          <w:spacing w:val="14"/>
          <w:sz w:val="32"/>
          <w:szCs w:val="32"/>
          <w:shd w:val="clear" w:color="auto" w:fill="FFFFFF"/>
          <w:vertAlign w:val="baseline"/>
          <w:lang w:eastAsia="zh-CN"/>
        </w:rPr>
      </w:pPr>
      <w:r>
        <w:rPr>
          <w:rFonts w:hint="eastAsia" w:ascii="仿宋" w:hAnsi="仿宋" w:eastAsia="仿宋" w:cs="仿宋"/>
          <w:i w:val="0"/>
          <w:iCs w:val="0"/>
          <w:caps w:val="0"/>
          <w:color w:val="auto"/>
          <w:spacing w:val="14"/>
          <w:sz w:val="32"/>
          <w:szCs w:val="32"/>
          <w:shd w:val="clear" w:color="auto" w:fill="FFFFFF"/>
          <w:vertAlign w:val="baseline"/>
          <w:lang w:eastAsia="zh-CN"/>
        </w:rPr>
        <w:t>2019年以来，全国各地区各部门认真贯彻党中央、国务院部署，深入推进工程建设项目审批制度改革，取得了积极成效。近年来，为贯彻落实党中央、国务院关于“放管服效”改革的决策部署和省、市政府有关工作要求，我县坚持把推进以简政放权、放管结合、优化服务、提高效能为核心的自身改革作为重要工作目标和突破口。通过工业投资项目工程建设审批服务提速增效，为企业松绑、为群众解绊、为市场腾位，激发市场活力和社会创造力，打通了服务企业“最后一公里”。在此基础上，为持续深化我县工程建设项目审批制度改革，持续推进政府职能转变，加快推进工程建设项目落地实施，有效激发市场活力，为进一步优化营商环境提供有力支撑。</w:t>
      </w:r>
    </w:p>
    <w:p>
      <w:pPr>
        <w:numPr>
          <w:ilvl w:val="0"/>
          <w:numId w:val="1"/>
        </w:numPr>
        <w:ind w:left="0" w:leftChars="0" w:firstLine="698" w:firstLineChars="200"/>
        <w:rPr>
          <w:rFonts w:hint="eastAsia" w:ascii="仿宋" w:hAnsi="仿宋" w:eastAsia="仿宋" w:cs="仿宋"/>
          <w:b/>
          <w:bCs/>
          <w:i w:val="0"/>
          <w:iCs w:val="0"/>
          <w:caps w:val="0"/>
          <w:color w:val="auto"/>
          <w:spacing w:val="14"/>
          <w:sz w:val="32"/>
          <w:szCs w:val="32"/>
          <w:shd w:val="clear" w:color="auto" w:fill="FFFFFF"/>
          <w:vertAlign w:val="baseline"/>
          <w:lang w:eastAsia="zh-CN"/>
        </w:rPr>
      </w:pPr>
      <w:r>
        <w:rPr>
          <w:rFonts w:hint="eastAsia" w:ascii="仿宋" w:hAnsi="仿宋" w:eastAsia="仿宋" w:cs="仿宋"/>
          <w:b/>
          <w:bCs/>
          <w:i w:val="0"/>
          <w:iCs w:val="0"/>
          <w:caps w:val="0"/>
          <w:color w:val="auto"/>
          <w:spacing w:val="14"/>
          <w:sz w:val="32"/>
          <w:szCs w:val="32"/>
          <w:shd w:val="clear" w:color="auto" w:fill="FFFFFF"/>
          <w:vertAlign w:val="baseline"/>
          <w:lang w:eastAsia="zh-CN"/>
        </w:rPr>
        <w:t>政策依据</w:t>
      </w:r>
    </w:p>
    <w:p>
      <w:pPr>
        <w:numPr>
          <w:ilvl w:val="0"/>
          <w:numId w:val="0"/>
        </w:numPr>
        <w:ind w:firstLine="696" w:firstLineChars="200"/>
        <w:rPr>
          <w:rFonts w:hint="eastAsia" w:ascii="仿宋" w:hAnsi="仿宋" w:eastAsia="仿宋" w:cs="仿宋"/>
          <w:i w:val="0"/>
          <w:iCs w:val="0"/>
          <w:caps w:val="0"/>
          <w:color w:val="auto"/>
          <w:spacing w:val="14"/>
          <w:sz w:val="32"/>
          <w:szCs w:val="32"/>
          <w:shd w:val="clear" w:color="auto" w:fill="FFFFFF"/>
          <w:vertAlign w:val="baseline"/>
        </w:rPr>
      </w:pPr>
      <w:r>
        <w:rPr>
          <w:rFonts w:hint="eastAsia" w:ascii="仿宋" w:hAnsi="仿宋" w:eastAsia="仿宋" w:cs="仿宋"/>
          <w:i w:val="0"/>
          <w:iCs w:val="0"/>
          <w:caps w:val="0"/>
          <w:color w:val="auto"/>
          <w:spacing w:val="14"/>
          <w:sz w:val="32"/>
          <w:szCs w:val="32"/>
          <w:shd w:val="clear" w:color="auto" w:fill="FFFFFF"/>
          <w:vertAlign w:val="baseline"/>
        </w:rPr>
        <w:t>根据《国务院办公厅关于全面开展工程建设项目审批制度改革的实施意见》（国办发〔</w:t>
      </w:r>
      <w:r>
        <w:rPr>
          <w:rFonts w:hint="eastAsia" w:ascii="仿宋" w:hAnsi="仿宋" w:eastAsia="仿宋" w:cs="仿宋"/>
          <w:i w:val="0"/>
          <w:iCs w:val="0"/>
          <w:caps w:val="0"/>
          <w:color w:val="auto"/>
          <w:spacing w:val="14"/>
          <w:sz w:val="32"/>
          <w:szCs w:val="32"/>
          <w:shd w:val="clear" w:color="auto" w:fill="FFFFFF"/>
          <w:vertAlign w:val="baseline"/>
          <w:lang w:val="en-US"/>
        </w:rPr>
        <w:t>2019</w:t>
      </w:r>
      <w:r>
        <w:rPr>
          <w:rFonts w:hint="eastAsia" w:ascii="仿宋" w:hAnsi="仿宋" w:eastAsia="仿宋" w:cs="仿宋"/>
          <w:i w:val="0"/>
          <w:iCs w:val="0"/>
          <w:caps w:val="0"/>
          <w:color w:val="auto"/>
          <w:spacing w:val="14"/>
          <w:sz w:val="32"/>
          <w:szCs w:val="32"/>
          <w:shd w:val="clear" w:color="auto" w:fill="FFFFFF"/>
          <w:vertAlign w:val="baseline"/>
        </w:rPr>
        <w:t>〕</w:t>
      </w:r>
      <w:r>
        <w:rPr>
          <w:rFonts w:hint="eastAsia" w:ascii="仿宋" w:hAnsi="仿宋" w:eastAsia="仿宋" w:cs="仿宋"/>
          <w:i w:val="0"/>
          <w:iCs w:val="0"/>
          <w:caps w:val="0"/>
          <w:color w:val="auto"/>
          <w:spacing w:val="14"/>
          <w:sz w:val="32"/>
          <w:szCs w:val="32"/>
          <w:shd w:val="clear" w:color="auto" w:fill="FFFFFF"/>
          <w:vertAlign w:val="baseline"/>
          <w:lang w:val="en-US"/>
        </w:rPr>
        <w:t>11</w:t>
      </w:r>
      <w:r>
        <w:rPr>
          <w:rFonts w:hint="eastAsia" w:ascii="仿宋" w:hAnsi="仿宋" w:eastAsia="仿宋" w:cs="仿宋"/>
          <w:i w:val="0"/>
          <w:iCs w:val="0"/>
          <w:caps w:val="0"/>
          <w:color w:val="auto"/>
          <w:spacing w:val="14"/>
          <w:sz w:val="32"/>
          <w:szCs w:val="32"/>
          <w:shd w:val="clear" w:color="auto" w:fill="FFFFFF"/>
          <w:vertAlign w:val="baseline"/>
        </w:rPr>
        <w:t>号）</w:t>
      </w:r>
      <w:r>
        <w:rPr>
          <w:rFonts w:hint="eastAsia" w:ascii="仿宋" w:hAnsi="仿宋" w:eastAsia="仿宋" w:cs="仿宋"/>
          <w:i w:val="0"/>
          <w:iCs w:val="0"/>
          <w:caps w:val="0"/>
          <w:color w:val="auto"/>
          <w:spacing w:val="14"/>
          <w:sz w:val="32"/>
          <w:szCs w:val="32"/>
          <w:shd w:val="clear" w:color="auto" w:fill="FFFFFF"/>
          <w:vertAlign w:val="baseline"/>
          <w:lang w:eastAsia="zh-CN"/>
        </w:rPr>
        <w:t>、《河南省人民政府办公厅关于印发河南省工程建设项目审批制度改革实施方案的通知》（豫政办</w:t>
      </w:r>
      <w:r>
        <w:rPr>
          <w:rFonts w:hint="eastAsia" w:ascii="仿宋" w:hAnsi="仿宋" w:eastAsia="仿宋" w:cs="仿宋"/>
          <w:i w:val="0"/>
          <w:iCs w:val="0"/>
          <w:caps w:val="0"/>
          <w:color w:val="auto"/>
          <w:spacing w:val="14"/>
          <w:sz w:val="32"/>
          <w:szCs w:val="32"/>
          <w:shd w:val="clear" w:color="auto" w:fill="FFFFFF"/>
          <w:vertAlign w:val="baseline"/>
        </w:rPr>
        <w:t>〔</w:t>
      </w:r>
      <w:r>
        <w:rPr>
          <w:rFonts w:hint="eastAsia" w:ascii="仿宋" w:hAnsi="仿宋" w:eastAsia="仿宋" w:cs="仿宋"/>
          <w:i w:val="0"/>
          <w:iCs w:val="0"/>
          <w:caps w:val="0"/>
          <w:color w:val="auto"/>
          <w:spacing w:val="14"/>
          <w:sz w:val="32"/>
          <w:szCs w:val="32"/>
          <w:shd w:val="clear" w:color="auto" w:fill="FFFFFF"/>
          <w:vertAlign w:val="baseline"/>
          <w:lang w:val="en-US"/>
        </w:rPr>
        <w:t>2019</w:t>
      </w:r>
      <w:r>
        <w:rPr>
          <w:rFonts w:hint="eastAsia" w:ascii="仿宋" w:hAnsi="仿宋" w:eastAsia="仿宋" w:cs="仿宋"/>
          <w:i w:val="0"/>
          <w:iCs w:val="0"/>
          <w:caps w:val="0"/>
          <w:color w:val="auto"/>
          <w:spacing w:val="14"/>
          <w:sz w:val="32"/>
          <w:szCs w:val="32"/>
          <w:shd w:val="clear" w:color="auto" w:fill="FFFFFF"/>
          <w:vertAlign w:val="baseline"/>
        </w:rPr>
        <w:t>〕</w:t>
      </w:r>
      <w:r>
        <w:rPr>
          <w:rFonts w:hint="eastAsia" w:ascii="仿宋" w:hAnsi="仿宋" w:eastAsia="仿宋" w:cs="仿宋"/>
          <w:i w:val="0"/>
          <w:iCs w:val="0"/>
          <w:caps w:val="0"/>
          <w:color w:val="auto"/>
          <w:spacing w:val="14"/>
          <w:sz w:val="32"/>
          <w:szCs w:val="32"/>
          <w:shd w:val="clear" w:color="auto" w:fill="FFFFFF"/>
          <w:vertAlign w:val="baseline"/>
          <w:lang w:val="en-US" w:eastAsia="zh-CN"/>
        </w:rPr>
        <w:t>28号</w:t>
      </w:r>
      <w:r>
        <w:rPr>
          <w:rFonts w:hint="eastAsia" w:ascii="仿宋" w:hAnsi="仿宋" w:eastAsia="仿宋" w:cs="仿宋"/>
          <w:i w:val="0"/>
          <w:iCs w:val="0"/>
          <w:caps w:val="0"/>
          <w:color w:val="auto"/>
          <w:spacing w:val="14"/>
          <w:sz w:val="32"/>
          <w:szCs w:val="32"/>
          <w:shd w:val="clear" w:color="auto" w:fill="FFFFFF"/>
          <w:vertAlign w:val="baseline"/>
          <w:lang w:eastAsia="zh-CN"/>
        </w:rPr>
        <w:t>）和《</w:t>
      </w:r>
      <w:r>
        <w:rPr>
          <w:rFonts w:hint="eastAsia" w:ascii="仿宋" w:hAnsi="仿宋" w:eastAsia="仿宋" w:cs="仿宋"/>
          <w:i w:val="0"/>
          <w:iCs w:val="0"/>
          <w:caps w:val="0"/>
          <w:color w:val="auto"/>
          <w:spacing w:val="14"/>
          <w:sz w:val="32"/>
          <w:szCs w:val="32"/>
          <w:shd w:val="clear" w:color="auto" w:fill="FFFFFF"/>
          <w:vertAlign w:val="baseline"/>
          <w:lang w:val="en-US" w:eastAsia="zh-CN"/>
        </w:rPr>
        <w:t>驻马店市人民政府办公室关于印发&lt;驻马店市工业投资项目“拿地即开工”改革实施意见&gt;的通知</w:t>
      </w:r>
      <w:r>
        <w:rPr>
          <w:rFonts w:hint="eastAsia" w:ascii="仿宋" w:hAnsi="仿宋" w:eastAsia="仿宋" w:cs="仿宋"/>
          <w:i w:val="0"/>
          <w:iCs w:val="0"/>
          <w:caps w:val="0"/>
          <w:color w:val="auto"/>
          <w:spacing w:val="14"/>
          <w:sz w:val="32"/>
          <w:szCs w:val="32"/>
          <w:shd w:val="clear" w:color="auto" w:fill="FFFFFF"/>
          <w:vertAlign w:val="baseline"/>
          <w:lang w:eastAsia="zh-CN"/>
        </w:rPr>
        <w:t>》（</w:t>
      </w:r>
      <w:r>
        <w:rPr>
          <w:rFonts w:hint="eastAsia" w:ascii="仿宋" w:hAnsi="仿宋" w:eastAsia="仿宋" w:cs="仿宋"/>
          <w:i w:val="0"/>
          <w:iCs w:val="0"/>
          <w:caps w:val="0"/>
          <w:color w:val="auto"/>
          <w:spacing w:val="14"/>
          <w:sz w:val="32"/>
          <w:szCs w:val="32"/>
          <w:shd w:val="clear" w:color="auto" w:fill="FFFFFF"/>
          <w:vertAlign w:val="baseline"/>
          <w:lang w:val="en-US" w:eastAsia="zh-CN"/>
        </w:rPr>
        <w:t>驻政办〔2019〕100号</w:t>
      </w:r>
      <w:r>
        <w:rPr>
          <w:rFonts w:hint="eastAsia" w:ascii="仿宋" w:hAnsi="仿宋" w:eastAsia="仿宋" w:cs="仿宋"/>
          <w:i w:val="0"/>
          <w:iCs w:val="0"/>
          <w:caps w:val="0"/>
          <w:color w:val="auto"/>
          <w:spacing w:val="14"/>
          <w:sz w:val="32"/>
          <w:szCs w:val="32"/>
          <w:shd w:val="clear" w:color="auto" w:fill="FFFFFF"/>
          <w:vertAlign w:val="baseline"/>
          <w:lang w:eastAsia="zh-CN"/>
        </w:rPr>
        <w:t>）</w:t>
      </w:r>
      <w:r>
        <w:rPr>
          <w:rFonts w:hint="eastAsia" w:ascii="仿宋" w:hAnsi="仿宋" w:eastAsia="仿宋" w:cs="仿宋"/>
          <w:i w:val="0"/>
          <w:iCs w:val="0"/>
          <w:caps w:val="0"/>
          <w:color w:val="auto"/>
          <w:spacing w:val="14"/>
          <w:sz w:val="32"/>
          <w:szCs w:val="32"/>
          <w:shd w:val="clear" w:color="auto" w:fill="FFFFFF"/>
          <w:vertAlign w:val="baseline"/>
        </w:rPr>
        <w:t>精神，</w:t>
      </w:r>
      <w:r>
        <w:rPr>
          <w:rFonts w:hint="eastAsia" w:ascii="仿宋" w:hAnsi="仿宋" w:eastAsia="仿宋" w:cs="仿宋"/>
          <w:i w:val="0"/>
          <w:iCs w:val="0"/>
          <w:caps w:val="0"/>
          <w:color w:val="auto"/>
          <w:spacing w:val="14"/>
          <w:sz w:val="32"/>
          <w:szCs w:val="32"/>
          <w:shd w:val="clear" w:color="auto" w:fill="FFFFFF"/>
          <w:vertAlign w:val="baseline"/>
          <w:lang w:eastAsia="zh-CN"/>
        </w:rPr>
        <w:t>借鉴浙江、山东等地的先进经验，结合我县实际，制定本方案</w:t>
      </w:r>
      <w:r>
        <w:rPr>
          <w:rFonts w:hint="eastAsia" w:ascii="仿宋" w:hAnsi="仿宋" w:eastAsia="仿宋" w:cs="仿宋"/>
          <w:i w:val="0"/>
          <w:iCs w:val="0"/>
          <w:caps w:val="0"/>
          <w:color w:val="auto"/>
          <w:spacing w:val="14"/>
          <w:sz w:val="32"/>
          <w:szCs w:val="32"/>
          <w:shd w:val="clear" w:color="auto" w:fill="FFFFFF"/>
          <w:vertAlign w:val="baseline"/>
        </w:rPr>
        <w:t>。</w:t>
      </w:r>
    </w:p>
    <w:p>
      <w:pPr>
        <w:numPr>
          <w:ilvl w:val="0"/>
          <w:numId w:val="1"/>
        </w:numPr>
        <w:ind w:left="0" w:leftChars="0" w:firstLine="642" w:firstLineChars="200"/>
        <w:rPr>
          <w:rFonts w:hint="eastAsia" w:ascii="仿宋" w:hAnsi="仿宋" w:eastAsia="仿宋" w:cs="仿宋"/>
          <w:i w:val="0"/>
          <w:iCs w:val="0"/>
          <w:caps w:val="0"/>
          <w:color w:val="auto"/>
          <w:spacing w:val="0"/>
          <w:sz w:val="32"/>
          <w:szCs w:val="32"/>
          <w:shd w:val="clear" w:fill="FFFFFF"/>
          <w:lang w:val="en-US" w:eastAsia="zh-CN"/>
        </w:rPr>
      </w:pPr>
      <w:r>
        <w:rPr>
          <w:rFonts w:hint="eastAsia" w:ascii="仿宋" w:hAnsi="仿宋" w:eastAsia="仿宋" w:cs="仿宋"/>
          <w:b/>
          <w:bCs/>
          <w:i w:val="0"/>
          <w:iCs w:val="0"/>
          <w:caps w:val="0"/>
          <w:color w:val="auto"/>
          <w:spacing w:val="0"/>
          <w:sz w:val="32"/>
          <w:szCs w:val="32"/>
          <w:shd w:val="clear" w:fill="FFFFFF"/>
        </w:rPr>
        <w:t>主要措施</w:t>
      </w:r>
    </w:p>
    <w:p>
      <w:pPr>
        <w:numPr>
          <w:ilvl w:val="0"/>
          <w:numId w:val="2"/>
        </w:numPr>
        <w:ind w:leftChars="200"/>
        <w:rPr>
          <w:rFonts w:hint="eastAsia" w:ascii="仿宋" w:hAnsi="仿宋" w:eastAsia="仿宋" w:cs="仿宋"/>
          <w:b w:val="0"/>
          <w:bCs w:val="0"/>
          <w:i w:val="0"/>
          <w:iCs w:val="0"/>
          <w:caps w:val="0"/>
          <w:color w:val="auto"/>
          <w:spacing w:val="0"/>
          <w:sz w:val="32"/>
          <w:szCs w:val="32"/>
          <w:shd w:val="clear" w:fill="FFFFFF"/>
          <w:lang w:val="en-US" w:eastAsia="zh-CN"/>
        </w:rPr>
      </w:pPr>
      <w:r>
        <w:rPr>
          <w:rFonts w:hint="eastAsia" w:ascii="仿宋" w:hAnsi="仿宋" w:eastAsia="仿宋" w:cs="仿宋"/>
          <w:b w:val="0"/>
          <w:bCs w:val="0"/>
          <w:i w:val="0"/>
          <w:iCs w:val="0"/>
          <w:caps w:val="0"/>
          <w:color w:val="auto"/>
          <w:spacing w:val="0"/>
          <w:sz w:val="32"/>
          <w:szCs w:val="32"/>
          <w:shd w:val="clear" w:fill="FFFFFF"/>
          <w:lang w:val="en-US" w:eastAsia="zh-CN"/>
        </w:rPr>
        <w:t>推行预审批制度</w:t>
      </w:r>
    </w:p>
    <w:p>
      <w:pPr>
        <w:widowControl w:val="0"/>
        <w:numPr>
          <w:ilvl w:val="0"/>
          <w:numId w:val="0"/>
        </w:numPr>
        <w:ind w:firstLine="696" w:firstLineChars="200"/>
        <w:jc w:val="both"/>
        <w:rPr>
          <w:rFonts w:hint="eastAsia" w:ascii="仿宋" w:hAnsi="仿宋" w:eastAsia="仿宋" w:cs="仿宋"/>
          <w:i w:val="0"/>
          <w:iCs w:val="0"/>
          <w:caps w:val="0"/>
          <w:color w:val="auto"/>
          <w:spacing w:val="0"/>
          <w:sz w:val="32"/>
          <w:szCs w:val="32"/>
          <w:shd w:val="clear" w:color="auto" w:fill="FFFFFF"/>
        </w:rPr>
      </w:pPr>
      <w:r>
        <w:rPr>
          <w:rFonts w:hint="eastAsia" w:ascii="仿宋_GB2312" w:hAnsi="微软雅黑" w:eastAsia="仿宋_GB2312" w:cs="仿宋_GB2312"/>
          <w:i w:val="0"/>
          <w:iCs w:val="0"/>
          <w:caps w:val="0"/>
          <w:color w:val="auto"/>
          <w:spacing w:val="14"/>
          <w:sz w:val="32"/>
          <w:szCs w:val="32"/>
          <w:shd w:val="clear" w:color="auto" w:fill="FFFFFF"/>
          <w:vertAlign w:val="baseline"/>
          <w:lang w:val="en-US" w:eastAsia="zh-CN"/>
        </w:rPr>
        <w:t>预审批是指虽未取得土地使用权但主体相对明确的建设项目，在暂不具备法定审批条件的情况下，全流程各审批部门视同该主体已取得土地使用权，提前开展实质性审查。</w:t>
      </w:r>
      <w:r>
        <w:rPr>
          <w:rFonts w:hint="eastAsia" w:ascii="仿宋" w:hAnsi="仿宋" w:eastAsia="仿宋" w:cs="仿宋"/>
          <w:i w:val="0"/>
          <w:iCs w:val="0"/>
          <w:caps w:val="0"/>
          <w:color w:val="auto"/>
          <w:spacing w:val="0"/>
          <w:sz w:val="32"/>
          <w:szCs w:val="32"/>
          <w:shd w:val="clear" w:color="auto" w:fill="FFFFFF"/>
        </w:rPr>
        <w:t>各审批部门依据企业提供的申请材料出具预审批意见（内部审查意见，非正式批准文件）作为下一部门的审批依据，预审批的申请材料、时限要求、技术规范、流程等均与正式审批一致。当该项目取得土地行政主管部门出让文件并达到法定审批条件后，由企业持土地行政主管部门出让文件向各审批部门申请，各审批部门将预审批意见转化为正式审批文件。</w:t>
      </w:r>
    </w:p>
    <w:p>
      <w:pPr>
        <w:widowControl w:val="0"/>
        <w:numPr>
          <w:ilvl w:val="0"/>
          <w:numId w:val="0"/>
        </w:numPr>
        <w:ind w:firstLine="640" w:firstLineChars="200"/>
        <w:jc w:val="both"/>
        <w:rPr>
          <w:rFonts w:hint="eastAsia" w:ascii="仿宋" w:hAnsi="仿宋" w:eastAsia="仿宋" w:cs="仿宋"/>
          <w:i w:val="0"/>
          <w:iCs w:val="0"/>
          <w:caps w:val="0"/>
          <w:color w:val="auto"/>
          <w:spacing w:val="0"/>
          <w:sz w:val="32"/>
          <w:szCs w:val="32"/>
          <w:shd w:val="clear" w:fill="FFFFFF"/>
          <w:lang w:val="en-US" w:eastAsia="zh-CN"/>
        </w:rPr>
      </w:pPr>
      <w:r>
        <w:rPr>
          <w:rFonts w:hint="eastAsia" w:ascii="仿宋" w:hAnsi="仿宋" w:eastAsia="仿宋" w:cs="仿宋"/>
          <w:i w:val="0"/>
          <w:iCs w:val="0"/>
          <w:caps w:val="0"/>
          <w:color w:val="auto"/>
          <w:spacing w:val="0"/>
          <w:sz w:val="32"/>
          <w:szCs w:val="32"/>
          <w:shd w:val="clear" w:fill="FFFFFF"/>
          <w:lang w:val="en-US" w:eastAsia="zh-CN"/>
        </w:rPr>
        <w:t>2、用地手续与预审批流程并行推进</w:t>
      </w:r>
    </w:p>
    <w:p>
      <w:pPr>
        <w:widowControl w:val="0"/>
        <w:numPr>
          <w:ilvl w:val="0"/>
          <w:numId w:val="0"/>
        </w:numPr>
        <w:ind w:firstLine="696" w:firstLineChars="200"/>
        <w:jc w:val="both"/>
        <w:rPr>
          <w:rFonts w:hint="eastAsia" w:ascii="仿宋_GB2312" w:hAnsi="微软雅黑" w:eastAsia="仿宋_GB2312" w:cs="仿宋_GB2312"/>
          <w:i w:val="0"/>
          <w:iCs w:val="0"/>
          <w:caps w:val="0"/>
          <w:color w:val="auto"/>
          <w:spacing w:val="14"/>
          <w:sz w:val="32"/>
          <w:szCs w:val="32"/>
          <w:shd w:val="clear" w:color="auto" w:fill="FFFFFF"/>
          <w:vertAlign w:val="baseline"/>
          <w:lang w:val="en-US" w:eastAsia="zh-CN"/>
        </w:rPr>
      </w:pPr>
      <w:r>
        <w:rPr>
          <w:rFonts w:hint="eastAsia" w:ascii="仿宋_GB2312" w:hAnsi="微软雅黑" w:eastAsia="仿宋_GB2312" w:cs="仿宋_GB2312"/>
          <w:i w:val="0"/>
          <w:iCs w:val="0"/>
          <w:caps w:val="0"/>
          <w:color w:val="auto"/>
          <w:spacing w:val="14"/>
          <w:sz w:val="32"/>
          <w:szCs w:val="32"/>
          <w:shd w:val="clear" w:color="auto" w:fill="FFFFFF"/>
          <w:vertAlign w:val="baseline"/>
          <w:lang w:val="en-US" w:eastAsia="zh-CN"/>
        </w:rPr>
        <w:t>自然资源主管部门在对工业用地开展必要的供应手续时审批部门将工作前移，通过调整审批时序、容缺受理、预审批等措施，在用地主体取得正式用地许可手续前，完成办理建筑工程施工许可证所必须的许可手续的预审，在补齐相关资料后依法依次核发正式的许可手续。将原来取得土地证后方可办理的审批手续与土地供应程序并联起来依此达成行政审批效率的提升，以求做到工业项目“四天办四证、拿地即开工”。</w:t>
      </w:r>
      <w:bookmarkStart w:id="0" w:name="_GoBack"/>
      <w:bookmarkEnd w:id="0"/>
    </w:p>
    <w:p>
      <w:pPr>
        <w:widowControl w:val="0"/>
        <w:numPr>
          <w:ilvl w:val="0"/>
          <w:numId w:val="0"/>
        </w:numPr>
        <w:ind w:firstLine="640" w:firstLineChars="200"/>
        <w:jc w:val="both"/>
        <w:rPr>
          <w:rFonts w:hint="eastAsia" w:ascii="仿宋" w:hAnsi="仿宋" w:eastAsia="仿宋" w:cs="仿宋"/>
          <w:i w:val="0"/>
          <w:iCs w:val="0"/>
          <w:caps w:val="0"/>
          <w:color w:val="auto"/>
          <w:spacing w:val="0"/>
          <w:sz w:val="32"/>
          <w:szCs w:val="32"/>
          <w:shd w:val="clear" w:fill="FFFFFF"/>
          <w:lang w:val="en-US" w:eastAsia="zh-CN"/>
        </w:rPr>
      </w:pPr>
      <w:r>
        <w:rPr>
          <w:rFonts w:hint="eastAsia" w:ascii="仿宋" w:hAnsi="仿宋" w:eastAsia="仿宋" w:cs="仿宋"/>
          <w:i w:val="0"/>
          <w:iCs w:val="0"/>
          <w:caps w:val="0"/>
          <w:color w:val="auto"/>
          <w:spacing w:val="0"/>
          <w:sz w:val="32"/>
          <w:szCs w:val="32"/>
          <w:shd w:val="clear" w:fill="FFFFFF"/>
          <w:lang w:val="en-US" w:eastAsia="zh-CN"/>
        </w:rPr>
        <w:t>3、实行容缺办理、告知承诺制，加强事中事后监管</w:t>
      </w:r>
    </w:p>
    <w:p>
      <w:pPr>
        <w:widowControl w:val="0"/>
        <w:numPr>
          <w:ilvl w:val="0"/>
          <w:numId w:val="0"/>
        </w:numPr>
        <w:ind w:firstLine="640" w:firstLineChars="200"/>
        <w:jc w:val="both"/>
        <w:rPr>
          <w:rFonts w:hint="eastAsia" w:ascii="仿宋" w:hAnsi="仿宋" w:eastAsia="仿宋" w:cs="仿宋"/>
          <w:i w:val="0"/>
          <w:iCs w:val="0"/>
          <w:caps w:val="0"/>
          <w:color w:val="auto"/>
          <w:spacing w:val="0"/>
          <w:sz w:val="32"/>
          <w:szCs w:val="32"/>
          <w:shd w:val="clear" w:fill="FFFFFF"/>
          <w:lang w:val="en-US" w:eastAsia="zh-CN"/>
        </w:rPr>
      </w:pPr>
      <w:r>
        <w:rPr>
          <w:rFonts w:hint="eastAsia" w:ascii="仿宋" w:hAnsi="仿宋" w:eastAsia="仿宋" w:cs="仿宋"/>
          <w:i w:val="0"/>
          <w:iCs w:val="0"/>
          <w:caps w:val="0"/>
          <w:color w:val="auto"/>
          <w:spacing w:val="0"/>
          <w:sz w:val="32"/>
          <w:szCs w:val="32"/>
          <w:shd w:val="clear" w:fill="FFFFFF"/>
          <w:lang w:val="en-US" w:eastAsia="zh-CN"/>
        </w:rPr>
        <w:t>由县先进制造业开发区管委会提出非核心材料清单，作为可以容缺的材料，用地主体在核心材料齐备的情况下可申请容缺办理，后期补齐非核心材料即可。</w:t>
      </w:r>
    </w:p>
    <w:p>
      <w:pPr>
        <w:widowControl w:val="0"/>
        <w:numPr>
          <w:ilvl w:val="0"/>
          <w:numId w:val="0"/>
        </w:numPr>
        <w:ind w:firstLine="696" w:firstLineChars="200"/>
        <w:jc w:val="both"/>
        <w:rPr>
          <w:rFonts w:hint="eastAsia" w:ascii="仿宋_GB2312" w:hAnsi="微软雅黑" w:eastAsia="仿宋_GB2312" w:cs="仿宋_GB2312"/>
          <w:i w:val="0"/>
          <w:iCs w:val="0"/>
          <w:caps w:val="0"/>
          <w:color w:val="auto"/>
          <w:spacing w:val="14"/>
          <w:sz w:val="32"/>
          <w:szCs w:val="32"/>
          <w:shd w:val="clear" w:color="auto" w:fill="FFFFFF"/>
          <w:vertAlign w:val="baseline"/>
          <w:lang w:val="en-US" w:eastAsia="zh-CN"/>
        </w:rPr>
      </w:pPr>
      <w:r>
        <w:rPr>
          <w:rFonts w:hint="eastAsia" w:ascii="仿宋_GB2312" w:hAnsi="微软雅黑" w:eastAsia="仿宋_GB2312" w:cs="仿宋_GB2312"/>
          <w:i w:val="0"/>
          <w:iCs w:val="0"/>
          <w:caps w:val="0"/>
          <w:color w:val="auto"/>
          <w:spacing w:val="14"/>
          <w:sz w:val="32"/>
          <w:szCs w:val="32"/>
          <w:shd w:val="clear" w:color="auto" w:fill="FFFFFF"/>
          <w:vertAlign w:val="baseline"/>
          <w:lang w:val="en-US" w:eastAsia="zh-CN"/>
        </w:rPr>
        <w:t>对可通过事中事后监管纠正且不会造成严重后果的审批事项，实行告知承诺制。由实行告知承诺制的审批服务部门提供一次性告知清单，建设单位承诺自领取施工许可证之日起30天内补齐各项审批手续（包括各类规费）。审批服务部门当即作出行政批准决定或予以核准，并在规定期限（40日）内对建设单位履行承诺情况进行检查。发现没有履行承诺的，依法予以处理，由建设单位承担违反承诺造成的法律责任和经济损失，并取消失信主体适用承诺审批制度的资格。</w:t>
      </w:r>
    </w:p>
    <w:p>
      <w:pPr>
        <w:widowControl w:val="0"/>
        <w:numPr>
          <w:ilvl w:val="0"/>
          <w:numId w:val="0"/>
        </w:numPr>
        <w:ind w:firstLine="696" w:firstLineChars="200"/>
        <w:jc w:val="both"/>
        <w:rPr>
          <w:rFonts w:hint="eastAsia" w:ascii="仿宋_GB2312" w:hAnsi="微软雅黑" w:eastAsia="仿宋_GB2312" w:cs="仿宋_GB2312"/>
          <w:i w:val="0"/>
          <w:iCs w:val="0"/>
          <w:caps w:val="0"/>
          <w:color w:val="auto"/>
          <w:spacing w:val="14"/>
          <w:sz w:val="32"/>
          <w:szCs w:val="32"/>
          <w:shd w:val="clear" w:color="auto" w:fill="FFFFFF"/>
          <w:vertAlign w:val="baseline"/>
          <w:lang w:val="en-US" w:eastAsia="zh-CN"/>
        </w:rPr>
      </w:pPr>
      <w:r>
        <w:rPr>
          <w:rFonts w:hint="eastAsia" w:ascii="仿宋_GB2312" w:hAnsi="微软雅黑" w:eastAsia="仿宋_GB2312" w:cs="仿宋_GB2312"/>
          <w:i w:val="0"/>
          <w:iCs w:val="0"/>
          <w:caps w:val="0"/>
          <w:color w:val="auto"/>
          <w:spacing w:val="14"/>
          <w:sz w:val="32"/>
          <w:szCs w:val="32"/>
          <w:shd w:val="clear" w:color="auto" w:fill="FFFFFF"/>
          <w:vertAlign w:val="baseline"/>
          <w:lang w:val="en-US" w:eastAsia="zh-CN"/>
        </w:rPr>
        <w:t>各级行政审批部门由重前置审批向重事中事后监管转变。进一步落实建设单位主体责任，经发现存在承诺不兑现或弄虚作假等行为并查实的，采取整改、撤销许可或者禁止选择告知承诺制的惩戒措施。</w:t>
      </w:r>
    </w:p>
    <w:p>
      <w:pPr>
        <w:widowControl w:val="0"/>
        <w:numPr>
          <w:ilvl w:val="0"/>
          <w:numId w:val="0"/>
        </w:numPr>
        <w:ind w:firstLine="696" w:firstLineChars="200"/>
        <w:jc w:val="right"/>
        <w:rPr>
          <w:rFonts w:hint="eastAsia" w:ascii="仿宋_GB2312" w:hAnsi="微软雅黑" w:eastAsia="仿宋_GB2312" w:cs="仿宋_GB2312"/>
          <w:i w:val="0"/>
          <w:iCs w:val="0"/>
          <w:caps w:val="0"/>
          <w:color w:val="auto"/>
          <w:spacing w:val="14"/>
          <w:sz w:val="32"/>
          <w:szCs w:val="32"/>
          <w:shd w:val="clear" w:color="auto" w:fill="FFFFFF"/>
          <w:vertAlign w:val="baseline"/>
          <w:lang w:val="en-US" w:eastAsia="zh-CN"/>
        </w:rPr>
      </w:pPr>
    </w:p>
    <w:p>
      <w:pPr>
        <w:widowControl w:val="0"/>
        <w:numPr>
          <w:ilvl w:val="0"/>
          <w:numId w:val="0"/>
        </w:numPr>
        <w:ind w:firstLine="640" w:firstLineChars="200"/>
        <w:jc w:val="both"/>
        <w:rPr>
          <w:rFonts w:hint="eastAsia" w:ascii="仿宋" w:hAnsi="仿宋" w:eastAsia="仿宋" w:cs="仿宋"/>
          <w:i w:val="0"/>
          <w:iCs w:val="0"/>
          <w:caps w:val="0"/>
          <w:color w:val="auto"/>
          <w:spacing w:val="0"/>
          <w:sz w:val="32"/>
          <w:szCs w:val="32"/>
          <w:shd w:val="clear" w:fill="FFFFFF"/>
          <w:lang w:val="en-US" w:eastAsia="zh-CN"/>
        </w:rPr>
      </w:pPr>
    </w:p>
    <w:p>
      <w:pPr>
        <w:widowControl w:val="0"/>
        <w:numPr>
          <w:ilvl w:val="0"/>
          <w:numId w:val="0"/>
        </w:numPr>
        <w:jc w:val="both"/>
        <w:rPr>
          <w:rFonts w:hint="eastAsia" w:ascii="仿宋" w:hAnsi="仿宋" w:eastAsia="仿宋" w:cs="仿宋"/>
          <w:i w:val="0"/>
          <w:iCs w:val="0"/>
          <w:caps w:val="0"/>
          <w:color w:val="auto"/>
          <w:spacing w:val="0"/>
          <w:sz w:val="32"/>
          <w:szCs w:val="32"/>
          <w:shd w:val="clear" w:fill="FFFFFF"/>
          <w:lang w:val="en-US" w:eastAsia="zh-CN"/>
        </w:rPr>
      </w:pPr>
    </w:p>
    <w:p>
      <w:pPr>
        <w:widowControl w:val="0"/>
        <w:numPr>
          <w:ilvl w:val="0"/>
          <w:numId w:val="0"/>
        </w:numPr>
        <w:ind w:firstLine="696" w:firstLineChars="200"/>
        <w:jc w:val="both"/>
        <w:rPr>
          <w:rFonts w:hint="eastAsia" w:ascii="仿宋_GB2312" w:hAnsi="微软雅黑" w:eastAsia="仿宋_GB2312" w:cs="仿宋_GB2312"/>
          <w:i w:val="0"/>
          <w:iCs w:val="0"/>
          <w:caps w:val="0"/>
          <w:color w:val="auto"/>
          <w:spacing w:val="14"/>
          <w:sz w:val="32"/>
          <w:szCs w:val="32"/>
          <w:shd w:val="clear" w:color="auto" w:fill="FFFFFF"/>
          <w:vertAlign w:val="baseline"/>
          <w:lang w:val="en-US" w:eastAsia="zh-CN"/>
        </w:rPr>
      </w:pPr>
    </w:p>
    <w:p>
      <w:pPr>
        <w:widowControl w:val="0"/>
        <w:numPr>
          <w:ilvl w:val="0"/>
          <w:numId w:val="0"/>
        </w:numPr>
        <w:jc w:val="both"/>
        <w:rPr>
          <w:rFonts w:hint="eastAsia" w:ascii="仿宋" w:hAnsi="仿宋" w:eastAsia="仿宋" w:cs="仿宋"/>
          <w:i w:val="0"/>
          <w:iCs w:val="0"/>
          <w:caps w:val="0"/>
          <w:color w:val="auto"/>
          <w:spacing w:val="0"/>
          <w:sz w:val="32"/>
          <w:szCs w:val="32"/>
          <w:shd w:val="clear" w:fill="FFFFFF"/>
          <w:lang w:val="en-US" w:eastAsia="zh-CN"/>
        </w:rPr>
      </w:pPr>
    </w:p>
    <w:p>
      <w:pPr>
        <w:widowControl w:val="0"/>
        <w:numPr>
          <w:ilvl w:val="0"/>
          <w:numId w:val="0"/>
        </w:numPr>
        <w:ind w:leftChars="200"/>
        <w:jc w:val="both"/>
        <w:rPr>
          <w:rFonts w:hint="eastAsia" w:ascii="仿宋" w:hAnsi="仿宋" w:eastAsia="仿宋" w:cs="仿宋"/>
          <w:i w:val="0"/>
          <w:iCs w:val="0"/>
          <w:caps w:val="0"/>
          <w:color w:val="auto"/>
          <w:spacing w:val="0"/>
          <w:sz w:val="32"/>
          <w:szCs w:val="32"/>
          <w:shd w:val="clear" w:fill="FFFFFF"/>
          <w:lang w:val="en-US" w:eastAsia="zh-CN"/>
        </w:rPr>
      </w:pPr>
    </w:p>
    <w:p>
      <w:pPr>
        <w:widowControl w:val="0"/>
        <w:numPr>
          <w:ilvl w:val="0"/>
          <w:numId w:val="0"/>
        </w:numPr>
        <w:ind w:firstLine="640" w:firstLineChars="200"/>
        <w:jc w:val="both"/>
        <w:rPr>
          <w:rFonts w:hint="eastAsia" w:ascii="仿宋" w:hAnsi="仿宋" w:eastAsia="仿宋" w:cs="仿宋"/>
          <w:i w:val="0"/>
          <w:iCs w:val="0"/>
          <w:caps w:val="0"/>
          <w:color w:val="auto"/>
          <w:spacing w:val="0"/>
          <w:sz w:val="32"/>
          <w:szCs w:val="32"/>
          <w:shd w:val="clear" w:color="auto" w:fill="FFFFFF"/>
          <w:lang w:val="en-US" w:eastAsia="zh-CN"/>
        </w:rPr>
      </w:pPr>
    </w:p>
    <w:p>
      <w:pPr>
        <w:numPr>
          <w:ilvl w:val="0"/>
          <w:numId w:val="0"/>
        </w:numPr>
        <w:rPr>
          <w:rFonts w:hint="eastAsia" w:ascii="仿宋" w:hAnsi="仿宋" w:eastAsia="仿宋" w:cs="仿宋"/>
          <w:b/>
          <w:bCs/>
          <w:i w:val="0"/>
          <w:iCs w:val="0"/>
          <w:caps w:val="0"/>
          <w:color w:val="auto"/>
          <w:spacing w:val="0"/>
          <w:sz w:val="32"/>
          <w:szCs w:val="32"/>
          <w:shd w:val="clear" w:fill="FFFFFF"/>
        </w:rPr>
      </w:pPr>
    </w:p>
    <w:p>
      <w:pPr>
        <w:numPr>
          <w:ilvl w:val="0"/>
          <w:numId w:val="0"/>
        </w:numPr>
        <w:ind w:firstLine="696" w:firstLineChars="200"/>
        <w:rPr>
          <w:rFonts w:hint="eastAsia" w:ascii="仿宋" w:hAnsi="仿宋" w:eastAsia="仿宋" w:cs="仿宋"/>
          <w:i w:val="0"/>
          <w:iCs w:val="0"/>
          <w:caps w:val="0"/>
          <w:color w:val="auto"/>
          <w:spacing w:val="14"/>
          <w:sz w:val="32"/>
          <w:szCs w:val="32"/>
          <w:shd w:val="clear" w:color="auto" w:fill="FFFFFF"/>
          <w:vertAlign w:val="baseline"/>
          <w:lang w:eastAsia="zh-CN"/>
        </w:rPr>
      </w:pPr>
    </w:p>
    <w:p>
      <w:pPr>
        <w:numPr>
          <w:ilvl w:val="0"/>
          <w:numId w:val="0"/>
        </w:numPr>
        <w:rPr>
          <w:rFonts w:hint="eastAsia" w:ascii="仿宋" w:hAnsi="仿宋" w:eastAsia="仿宋" w:cs="仿宋"/>
          <w:i w:val="0"/>
          <w:iCs w:val="0"/>
          <w:caps w:val="0"/>
          <w:color w:val="auto"/>
          <w:spacing w:val="14"/>
          <w:sz w:val="32"/>
          <w:szCs w:val="32"/>
          <w:shd w:val="clear" w:color="auto" w:fill="FFFFFF"/>
          <w:vertAlign w:val="baseline"/>
          <w:lang w:eastAsia="zh-CN"/>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CC"/>
    <w:family w:val="roman"/>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Nimbus Roman No9 L">
    <w:panose1 w:val="00000000000000000000"/>
    <w:charset w:val="00"/>
    <w:family w:val="auto"/>
    <w:pitch w:val="default"/>
    <w:sig w:usb0="00000000" w:usb1="00000000" w:usb2="00000000" w:usb3="00000000" w:csb0="0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微软雅黑">
    <w:altName w:val="黑体"/>
    <w:panose1 w:val="020B0503020204020204"/>
    <w:charset w:val="86"/>
    <w:family w:val="auto"/>
    <w:pitch w:val="default"/>
    <w:sig w:usb0="00000000" w:usb1="0000000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622415"/>
    <w:multiLevelType w:val="singleLevel"/>
    <w:tmpl w:val="02622415"/>
    <w:lvl w:ilvl="0" w:tentative="0">
      <w:start w:val="1"/>
      <w:numFmt w:val="chineseCounting"/>
      <w:suff w:val="nothing"/>
      <w:lvlText w:val="%1、"/>
      <w:lvlJc w:val="left"/>
      <w:rPr>
        <w:rFonts w:hint="eastAsia"/>
      </w:rPr>
    </w:lvl>
  </w:abstractNum>
  <w:abstractNum w:abstractNumId="1">
    <w:nsid w:val="0AB5A09E"/>
    <w:multiLevelType w:val="singleLevel"/>
    <w:tmpl w:val="0AB5A09E"/>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FmZWI3ZWU0YTM0N2IwODY3MGI4NDgzZGY5Yjk0ZDEifQ=="/>
  </w:docVars>
  <w:rsids>
    <w:rsidRoot w:val="0B111CDE"/>
    <w:rsid w:val="0B111CDE"/>
    <w:rsid w:val="6ADF1645"/>
    <w:rsid w:val="DDFFC0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1505</Words>
  <Characters>1530</Characters>
  <Lines>0</Lines>
  <Paragraphs>0</Paragraphs>
  <TotalTime>6</TotalTime>
  <ScaleCrop>false</ScaleCrop>
  <LinksUpToDate>false</LinksUpToDate>
  <CharactersWithSpaces>1530</CharactersWithSpaces>
  <Application>WPS Office_11.8.2.11625_F1E327BC-269C-435d-A152-05C5408002CA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2022-11-28T16:35:00Z</dcterms:created>
  <dc:creator>万水千山阿</dc:creator>
  <cp:lastModifiedBy>greatwall</cp:lastModifiedBy>
  <cp:lastPrinted>2023-01-30T15:01:00Z</cp:lastPrinted>
  <dcterms:modified xsi:type="dcterms:W3CDTF">2023-01-31T10:46:38Z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2052-11.8.2.11625</vt:lpwstr>
  </property>
  <property fmtid="{D5CDD505-2E9C-101B-9397-08002B2CF9AE}" pid="3" name="ICV">
    <vt:lpwstr>C0F88923A2E249E98F73AEC14CECE65B</vt:lpwstr>
  </property>
</Properties>
</file>