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578" w:lineRule="exact"/>
        <w:ind w:firstLine="883" w:firstLineChars="200"/>
        <w:jc w:val="center"/>
        <w:textAlignment w:val="baseline"/>
        <w:rPr>
          <w:rStyle w:val="8"/>
          <w:rFonts w:hint="eastAsia" w:ascii="方正小标宋简体" w:hAnsi="方正小标宋简体" w:eastAsia="方正小标宋简体" w:cs="方正小标宋简体"/>
          <w:bCs/>
          <w:sz w:val="44"/>
          <w:szCs w:val="44"/>
          <w:lang w:eastAsia="zh-CN" w:bidi="ar"/>
        </w:rPr>
      </w:pPr>
      <w:r>
        <w:rPr>
          <w:rStyle w:val="8"/>
          <w:rFonts w:hint="eastAsia" w:ascii="方正小标宋简体" w:hAnsi="方正小标宋简体" w:eastAsia="方正小标宋简体" w:cs="方正小标宋简体"/>
          <w:bCs/>
          <w:sz w:val="44"/>
          <w:szCs w:val="44"/>
          <w:lang w:bidi="ar"/>
        </w:rPr>
        <w:t>《新蔡县依法整治规范城区电动车秩序专项行动实施方案》</w:t>
      </w:r>
      <w:r>
        <w:rPr>
          <w:rStyle w:val="8"/>
          <w:rFonts w:hint="eastAsia" w:ascii="方正小标宋简体" w:hAnsi="方正小标宋简体" w:eastAsia="方正小标宋简体" w:cs="方正小标宋简体"/>
          <w:bCs/>
          <w:sz w:val="44"/>
          <w:szCs w:val="44"/>
          <w:lang w:eastAsia="zh-CN" w:bidi="ar"/>
        </w:rPr>
        <w:t>政策解读</w:t>
      </w:r>
    </w:p>
    <w:p>
      <w:pPr>
        <w:pStyle w:val="5"/>
        <w:widowControl/>
        <w:shd w:val="clear" w:color="auto" w:fill="FFFFFF"/>
        <w:spacing w:before="0" w:beforeAutospacing="0" w:after="0" w:afterAutospacing="0" w:line="578" w:lineRule="exact"/>
        <w:ind w:firstLine="640" w:firstLineChars="200"/>
        <w:jc w:val="both"/>
        <w:textAlignment w:val="baseline"/>
        <w:rPr>
          <w:rFonts w:ascii="仿宋_GB2312" w:hAnsi="仿宋_GB2312" w:eastAsia="仿宋_GB2312" w:cs="仿宋_GB2312"/>
          <w:color w:val="000000"/>
          <w:sz w:val="32"/>
          <w:szCs w:val="32"/>
          <w:shd w:val="clear" w:color="auto" w:fill="FFFFFF"/>
        </w:rPr>
      </w:pPr>
    </w:p>
    <w:p>
      <w:pPr>
        <w:pStyle w:val="5"/>
        <w:widowControl/>
        <w:shd w:val="clear" w:color="auto" w:fill="FFFFFF"/>
        <w:tabs>
          <w:tab w:val="left" w:pos="420"/>
        </w:tabs>
        <w:spacing w:before="0" w:beforeAutospacing="0" w:after="0" w:afterAutospacing="0" w:line="578" w:lineRule="exact"/>
        <w:ind w:left="420" w:leftChars="200" w:firstLine="320" w:firstLineChars="100"/>
        <w:jc w:val="both"/>
        <w:textAlignment w:val="baseline"/>
        <w:outlineLvl w:val="0"/>
        <w:rPr>
          <w:rFonts w:ascii="仿宋_GB2312" w:hAnsi="仿宋_GB2312" w:eastAsia="仿宋_GB2312" w:cs="仿宋_GB2312"/>
          <w:bCs/>
          <w:color w:val="000000"/>
          <w:sz w:val="32"/>
        </w:rPr>
      </w:pPr>
      <w:r>
        <w:rPr>
          <w:rFonts w:hint="eastAsia" w:ascii="黑体" w:hAnsi="黑体" w:eastAsia="黑体" w:cs="仿宋"/>
          <w:bCs/>
          <w:sz w:val="32"/>
          <w:szCs w:val="32"/>
        </w:rPr>
        <w:t>一、</w:t>
      </w:r>
      <w:r>
        <w:rPr>
          <w:rFonts w:hint="eastAsia" w:ascii="黑体" w:hAnsi="黑体" w:eastAsia="黑体" w:cs="仿宋"/>
          <w:bCs/>
          <w:sz w:val="32"/>
          <w:szCs w:val="32"/>
          <w:lang w:eastAsia="zh-CN"/>
        </w:rPr>
        <w:t>出台</w:t>
      </w:r>
      <w:r>
        <w:rPr>
          <w:rFonts w:hint="eastAsia" w:ascii="黑体" w:hAnsi="黑体" w:eastAsia="黑体" w:cs="仿宋"/>
          <w:bCs/>
          <w:sz w:val="32"/>
          <w:szCs w:val="32"/>
        </w:rPr>
        <w:t>背景</w:t>
      </w:r>
    </w:p>
    <w:p>
      <w:pPr>
        <w:pStyle w:val="5"/>
        <w:widowControl/>
        <w:shd w:val="clear" w:color="auto" w:fill="FFFFFF"/>
        <w:spacing w:before="0" w:beforeAutospacing="0" w:after="0" w:afterAutospacing="0" w:line="578" w:lineRule="exact"/>
        <w:ind w:firstLine="640" w:firstLineChars="200"/>
        <w:jc w:val="both"/>
        <w:textAlignment w:val="baseline"/>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shd w:val="clear" w:color="auto" w:fill="FFFFFF"/>
        </w:rPr>
        <w:t>为</w:t>
      </w:r>
      <w:r>
        <w:rPr>
          <w:rFonts w:hint="eastAsia" w:ascii="仿宋_GB2312" w:hAnsi="仿宋_GB2312" w:eastAsia="仿宋_GB2312" w:cs="仿宋_GB2312"/>
          <w:sz w:val="32"/>
          <w:szCs w:val="32"/>
        </w:rPr>
        <w:t>规范城区道路交通秩序，保障人民群众生命财产安全，提升我县城市文明形象</w:t>
      </w:r>
      <w:r>
        <w:rPr>
          <w:rFonts w:hint="eastAsia" w:ascii="仿宋_GB2312" w:hAnsi="仿宋_GB2312" w:eastAsia="仿宋_GB2312" w:cs="仿宋_GB2312"/>
          <w:color w:val="000000"/>
          <w:sz w:val="32"/>
          <w:shd w:val="clear" w:color="auto" w:fill="FFFFFF"/>
        </w:rPr>
        <w:t>。</w:t>
      </w:r>
      <w:r>
        <w:rPr>
          <w:rFonts w:hint="eastAsia" w:ascii="仿宋_GB2312" w:hAnsi="仿宋_GB2312" w:eastAsia="仿宋_GB2312" w:cs="仿宋_GB2312"/>
          <w:sz w:val="32"/>
          <w:szCs w:val="32"/>
        </w:rPr>
        <w:t>根据《中华人民共和国道路交通安全法》《中华人民共和国消费者权益保护法》《中华人民共和国道路运输条例》《驻马店市城市市容和环境卫生管理条例》</w:t>
      </w:r>
      <w:r>
        <w:rPr>
          <w:rFonts w:hint="eastAsia" w:ascii="仿宋_GB2312" w:hAnsi="仿宋_GB2312" w:eastAsia="仿宋_GB2312" w:cs="仿宋_GB2312"/>
          <w:sz w:val="32"/>
          <w:szCs w:val="32"/>
          <w:lang w:eastAsia="zh-CN"/>
        </w:rPr>
        <w:t>及《驻马店市人民政府关于依法整治规范市中心城区电动车秩序专项行动实施方案》</w:t>
      </w:r>
      <w:r>
        <w:rPr>
          <w:rFonts w:hint="eastAsia" w:ascii="仿宋_GB2312" w:hAnsi="仿宋_GB2312" w:eastAsia="仿宋_GB2312" w:cs="仿宋_GB2312"/>
          <w:sz w:val="32"/>
          <w:szCs w:val="32"/>
        </w:rPr>
        <w:t>等法律法规和文件规定，</w:t>
      </w:r>
      <w:r>
        <w:rPr>
          <w:rFonts w:hint="eastAsia" w:ascii="仿宋_GB2312" w:hAnsi="仿宋_GB2312" w:eastAsia="仿宋_GB2312" w:cs="仿宋_GB2312"/>
          <w:sz w:val="32"/>
          <w:szCs w:val="32"/>
          <w:lang w:eastAsia="zh-CN"/>
        </w:rPr>
        <w:t>制定本实施方案。</w:t>
      </w:r>
    </w:p>
    <w:p>
      <w:pPr>
        <w:pStyle w:val="5"/>
        <w:widowControl/>
        <w:shd w:val="clear" w:color="auto" w:fill="FFFFFF"/>
        <w:tabs>
          <w:tab w:val="left" w:pos="420"/>
        </w:tabs>
        <w:spacing w:before="0" w:beforeAutospacing="0" w:after="0" w:afterAutospacing="0" w:line="578" w:lineRule="exact"/>
        <w:ind w:firstLine="640" w:firstLineChars="200"/>
        <w:jc w:val="both"/>
        <w:textAlignment w:val="baseline"/>
        <w:outlineLvl w:val="0"/>
        <w:rPr>
          <w:rFonts w:ascii="仿宋_GB2312" w:hAnsi="仿宋_GB2312" w:eastAsia="仿宋_GB2312" w:cs="仿宋_GB2312"/>
          <w:b/>
          <w:bCs/>
          <w:color w:val="000000"/>
          <w:sz w:val="32"/>
        </w:rPr>
      </w:pPr>
      <w:r>
        <w:rPr>
          <w:rFonts w:hint="eastAsia" w:ascii="黑体" w:hAnsi="黑体" w:eastAsia="黑体" w:cs="仿宋"/>
          <w:bCs/>
          <w:sz w:val="32"/>
          <w:szCs w:val="32"/>
        </w:rPr>
        <w:t>二、主要内容</w:t>
      </w:r>
    </w:p>
    <w:p>
      <w:pPr>
        <w:pStyle w:val="5"/>
        <w:widowControl/>
        <w:shd w:val="clear" w:color="auto" w:fill="FFFFFF"/>
        <w:tabs>
          <w:tab w:val="left" w:pos="420"/>
        </w:tabs>
        <w:spacing w:before="0" w:beforeAutospacing="0" w:after="0" w:afterAutospacing="0" w:line="578" w:lineRule="exact"/>
        <w:ind w:firstLine="640" w:firstLineChars="200"/>
        <w:jc w:val="both"/>
        <w:textAlignment w:val="baseline"/>
        <w:outlineLvl w:val="0"/>
        <w:rPr>
          <w:rFonts w:ascii="仿宋_GB2312" w:hAnsi="仿宋_GB2312" w:eastAsia="仿宋_GB2312" w:cs="仿宋_GB2312"/>
          <w:color w:val="000000"/>
          <w:sz w:val="32"/>
        </w:rPr>
      </w:pPr>
      <w:r>
        <w:rPr>
          <w:rFonts w:hint="eastAsia" w:ascii="仿宋_GB2312" w:hAnsi="仿宋_GB2312" w:eastAsia="仿宋_GB2312" w:cs="仿宋_GB2312"/>
          <w:color w:val="000000"/>
          <w:sz w:val="32"/>
          <w:shd w:val="clear" w:color="auto" w:fill="FFFFFF"/>
        </w:rPr>
        <w:t>《方案》共分五个部分。分别为：</w:t>
      </w:r>
      <w:r>
        <w:rPr>
          <w:rFonts w:hint="eastAsia" w:ascii="仿宋_GB2312" w:hAnsi="仿宋_GB2312" w:eastAsia="仿宋_GB2312" w:cs="仿宋_GB2312"/>
          <w:sz w:val="32"/>
          <w:szCs w:val="32"/>
        </w:rPr>
        <w:t>整治区域、整治对象；工作目标；实施步骤；责任分工；工作要求</w:t>
      </w:r>
      <w:r>
        <w:rPr>
          <w:rFonts w:hint="eastAsia" w:ascii="仿宋_GB2312" w:hAnsi="仿宋_GB2312" w:eastAsia="仿宋_GB2312" w:cs="仿宋_GB2312"/>
          <w:color w:val="000000"/>
          <w:sz w:val="32"/>
          <w:shd w:val="clear" w:color="auto" w:fill="FFFFFF"/>
        </w:rPr>
        <w:t>。</w:t>
      </w:r>
    </w:p>
    <w:p>
      <w:pPr>
        <w:spacing w:line="578" w:lineRule="exact"/>
        <w:ind w:firstLine="640" w:firstLineChars="200"/>
        <w:rPr>
          <w:rFonts w:ascii="楷体" w:hAnsi="楷体" w:eastAsia="楷体" w:cs="楷体"/>
          <w:bCs/>
          <w:sz w:val="32"/>
          <w:szCs w:val="32"/>
        </w:rPr>
      </w:pPr>
      <w:r>
        <w:rPr>
          <w:rFonts w:hint="eastAsia" w:ascii="楷体" w:hAnsi="楷体" w:eastAsia="楷体" w:cs="楷体"/>
          <w:bCs/>
          <w:sz w:val="32"/>
          <w:szCs w:val="32"/>
        </w:rPr>
        <w:t>（一）整治区域、对象</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hd w:val="clear" w:color="auto" w:fill="FFFFFF"/>
        </w:rPr>
        <w:t>整治</w:t>
      </w:r>
      <w:r>
        <w:rPr>
          <w:rFonts w:hint="eastAsia" w:ascii="仿宋_GB2312" w:hAnsi="仿宋_GB2312" w:eastAsia="仿宋_GB2312" w:cs="仿宋_GB2312"/>
          <w:bCs/>
          <w:sz w:val="32"/>
          <w:szCs w:val="32"/>
        </w:rPr>
        <w:t>区域：</w:t>
      </w:r>
      <w:r>
        <w:rPr>
          <w:rFonts w:hint="eastAsia" w:ascii="仿宋_GB2312" w:hAnsi="仿宋_GB2312" w:eastAsia="仿宋_GB2312" w:cs="仿宋_GB2312"/>
          <w:sz w:val="32"/>
          <w:szCs w:val="32"/>
        </w:rPr>
        <w:t>新蔡县汝河大道以北、伯夷大道以东、姜尚大道—滨河路以南、东湖大道以西。</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整治对象：整治范围内的所有电动车。</w:t>
      </w:r>
    </w:p>
    <w:p>
      <w:pPr>
        <w:spacing w:line="578" w:lineRule="exact"/>
        <w:ind w:firstLine="640" w:firstLineChars="200"/>
        <w:rPr>
          <w:rFonts w:ascii="楷体" w:hAnsi="楷体" w:eastAsia="楷体" w:cs="楷体"/>
          <w:sz w:val="32"/>
          <w:szCs w:val="32"/>
        </w:rPr>
      </w:pPr>
      <w:r>
        <w:rPr>
          <w:rFonts w:hint="eastAsia" w:ascii="楷体" w:hAnsi="楷体" w:eastAsia="楷体" w:cs="楷体"/>
          <w:sz w:val="32"/>
          <w:szCs w:val="32"/>
        </w:rPr>
        <w:t>（二）工作目标</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hd w:val="clear" w:color="auto" w:fill="FFFFFF"/>
        </w:rPr>
        <w:t>该部分主要阐明了整治工作要达到的具体目标：</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全面规范电动车市场经营秩序，禁止在整治区域内销售不符合《电动自行车安全技术规范》（GB17761—2018）或未经国家机动车产品主管部门许可生产的电动车，坚决控制增量；</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对电动自行车进行登记挂牌管理，并对在用的非标电动车实行超役退出机制（过渡期管理），逐步减少存量；</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依法取缔城区非法营运电动车；</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对非法改装、改型电动车依法恢复出厂设置；</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依法严查电动车闯红灯、逆行、占用机动车道、乱停乱放、违法占道经营等各类违法行为，为广大人民群众创造安全、文明、畅通的交通环境。</w:t>
      </w:r>
    </w:p>
    <w:p>
      <w:pPr>
        <w:pStyle w:val="2"/>
        <w:spacing w:after="0" w:line="578" w:lineRule="exact"/>
        <w:ind w:left="0" w:leftChars="0" w:firstLine="640"/>
        <w:rPr>
          <w:rFonts w:ascii="楷体" w:hAnsi="楷体" w:eastAsia="楷体" w:cs="楷体"/>
        </w:rPr>
      </w:pPr>
      <w:r>
        <w:rPr>
          <w:rFonts w:hint="eastAsia" w:ascii="楷体" w:hAnsi="楷体" w:eastAsia="楷体" w:cs="楷体"/>
          <w:sz w:val="32"/>
          <w:szCs w:val="32"/>
        </w:rPr>
        <w:t>（三）实施步骤</w:t>
      </w:r>
    </w:p>
    <w:p>
      <w:pPr>
        <w:pStyle w:val="5"/>
        <w:widowControl/>
        <w:shd w:val="clear" w:color="auto" w:fill="FFFFFF"/>
        <w:spacing w:before="0" w:beforeAutospacing="0" w:after="0" w:afterAutospacing="0" w:line="578" w:lineRule="exact"/>
        <w:ind w:firstLine="640" w:firstLineChars="200"/>
        <w:jc w:val="both"/>
        <w:textAlignment w:val="baseline"/>
        <w:rPr>
          <w:rFonts w:ascii="仿宋_GB2312" w:hAnsi="仿宋_GB2312" w:eastAsia="仿宋_GB2312" w:cs="仿宋_GB2312"/>
          <w:bCs/>
          <w:sz w:val="32"/>
          <w:szCs w:val="32"/>
        </w:rPr>
      </w:pPr>
      <w:r>
        <w:rPr>
          <w:rFonts w:hint="eastAsia" w:ascii="仿宋_GB2312" w:hAnsi="仿宋_GB2312" w:eastAsia="仿宋_GB2312" w:cs="仿宋_GB2312"/>
          <w:color w:val="000000"/>
          <w:sz w:val="32"/>
          <w:shd w:val="clear" w:color="auto" w:fill="FFFFFF"/>
        </w:rPr>
        <w:t>该部分主要阐述了整治分</w:t>
      </w:r>
      <w:r>
        <w:rPr>
          <w:rFonts w:hint="eastAsia" w:ascii="仿宋_GB2312" w:hAnsi="仿宋_GB2312" w:eastAsia="仿宋_GB2312" w:cs="仿宋_GB2312"/>
          <w:sz w:val="32"/>
          <w:szCs w:val="32"/>
        </w:rPr>
        <w:t>为宣传发动、规范整治、长效管理三个阶段。1.</w:t>
      </w:r>
      <w:r>
        <w:rPr>
          <w:rFonts w:hint="eastAsia" w:ascii="仿宋_GB2312" w:hAnsi="仿宋_GB2312" w:eastAsia="仿宋_GB2312" w:cs="仿宋_GB2312"/>
          <w:bCs/>
          <w:sz w:val="32"/>
          <w:szCs w:val="32"/>
        </w:rPr>
        <w:t>宣传发动阶段（2022年11月—2022年12月）；2.规范整治阶段（2023年1月—2025年12月）；3.长效管理阶段（2026年1月以后）。并对每个阶段的工作进行了具体安排。</w:t>
      </w:r>
    </w:p>
    <w:p>
      <w:pPr>
        <w:pStyle w:val="5"/>
        <w:widowControl/>
        <w:shd w:val="clear" w:color="auto" w:fill="FFFFFF"/>
        <w:spacing w:before="0" w:beforeAutospacing="0" w:after="0" w:afterAutospacing="0" w:line="578" w:lineRule="exact"/>
        <w:ind w:firstLine="640" w:firstLineChars="200"/>
        <w:jc w:val="both"/>
        <w:textAlignment w:val="baseline"/>
        <w:rPr>
          <w:rFonts w:ascii="楷体" w:hAnsi="楷体" w:eastAsia="楷体" w:cs="楷体"/>
          <w:bCs/>
          <w:sz w:val="32"/>
          <w:szCs w:val="32"/>
        </w:rPr>
      </w:pPr>
      <w:r>
        <w:rPr>
          <w:rFonts w:hint="eastAsia" w:ascii="楷体" w:hAnsi="楷体" w:eastAsia="楷体" w:cs="楷体"/>
          <w:bCs/>
          <w:sz w:val="32"/>
          <w:szCs w:val="32"/>
        </w:rPr>
        <w:t>（四）责任分工</w:t>
      </w:r>
    </w:p>
    <w:p>
      <w:pPr>
        <w:pStyle w:val="5"/>
        <w:widowControl/>
        <w:shd w:val="clear" w:color="auto" w:fill="FFFFFF"/>
        <w:spacing w:before="0" w:beforeAutospacing="0" w:after="0" w:afterAutospacing="0" w:line="578" w:lineRule="exact"/>
        <w:ind w:firstLine="640" w:firstLineChars="200"/>
        <w:jc w:val="both"/>
        <w:textAlignment w:val="baseline"/>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hd w:val="clear" w:color="auto" w:fill="FFFFFF"/>
        </w:rPr>
        <w:t>该部分对各个职能部门的工作责任进行了明确，杜绝</w:t>
      </w:r>
      <w:r>
        <w:rPr>
          <w:rFonts w:hint="eastAsia" w:ascii="仿宋_GB2312" w:hAnsi="仿宋_GB2312" w:eastAsia="仿宋_GB2312" w:cs="仿宋_GB2312"/>
          <w:color w:val="000000"/>
          <w:sz w:val="32"/>
          <w:szCs w:val="32"/>
          <w:shd w:val="clear" w:color="auto" w:fill="FFFFFF"/>
        </w:rPr>
        <w:t>《</w:t>
      </w:r>
      <w:r>
        <w:rPr>
          <w:rStyle w:val="8"/>
          <w:rFonts w:hint="eastAsia" w:ascii="仿宋_GB2312" w:hAnsi="仿宋_GB2312" w:eastAsia="仿宋_GB2312" w:cs="仿宋_GB2312"/>
          <w:bCs/>
          <w:spacing w:val="30"/>
          <w:sz w:val="32"/>
          <w:szCs w:val="32"/>
          <w:lang w:bidi="ar"/>
        </w:rPr>
        <w:t>方案</w:t>
      </w:r>
      <w:r>
        <w:rPr>
          <w:rFonts w:hint="eastAsia" w:ascii="仿宋_GB2312" w:hAnsi="仿宋_GB2312" w:eastAsia="仿宋_GB2312" w:cs="仿宋_GB2312"/>
          <w:color w:val="000000"/>
          <w:sz w:val="32"/>
          <w:szCs w:val="32"/>
          <w:shd w:val="clear" w:color="auto" w:fill="FFFFFF"/>
        </w:rPr>
        <w:t>》在具体执行过程中出现推诿扯皮现象。</w:t>
      </w:r>
    </w:p>
    <w:p>
      <w:pPr>
        <w:pStyle w:val="5"/>
        <w:widowControl/>
        <w:numPr>
          <w:ilvl w:val="0"/>
          <w:numId w:val="1"/>
        </w:numPr>
        <w:shd w:val="clear" w:color="auto" w:fill="FFFFFF"/>
        <w:spacing w:before="0" w:beforeAutospacing="0" w:after="0" w:afterAutospacing="0" w:line="578" w:lineRule="exact"/>
        <w:ind w:firstLine="640" w:firstLineChars="200"/>
        <w:jc w:val="both"/>
        <w:textAlignment w:val="baseline"/>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工作要求</w:t>
      </w:r>
    </w:p>
    <w:p>
      <w:pPr>
        <w:pStyle w:val="5"/>
        <w:widowControl/>
        <w:shd w:val="clear" w:color="auto" w:fill="FFFFFF"/>
        <w:spacing w:before="0" w:beforeAutospacing="0" w:after="0" w:afterAutospacing="0" w:line="578" w:lineRule="exact"/>
        <w:ind w:firstLine="640" w:firstLineChars="200"/>
        <w:jc w:val="both"/>
        <w:textAlignment w:val="baseline"/>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hd w:val="clear" w:color="auto" w:fill="FFFFFF"/>
        </w:rPr>
        <w:t>该部分</w:t>
      </w:r>
      <w:r>
        <w:rPr>
          <w:rFonts w:hint="eastAsia" w:ascii="仿宋_GB2312" w:hAnsi="仿宋_GB2312" w:eastAsia="仿宋_GB2312" w:cs="仿宋_GB2312"/>
          <w:color w:val="000000"/>
          <w:sz w:val="32"/>
          <w:szCs w:val="32"/>
          <w:shd w:val="clear" w:color="auto" w:fill="FFFFFF"/>
        </w:rPr>
        <w:t>从</w:t>
      </w:r>
      <w:r>
        <w:rPr>
          <w:rFonts w:hint="eastAsia" w:ascii="仿宋_GB2312" w:hAnsi="仿宋_GB2312" w:eastAsia="仿宋_GB2312" w:cs="仿宋_GB2312"/>
          <w:sz w:val="32"/>
          <w:szCs w:val="32"/>
        </w:rPr>
        <w:t>高度重视，加强领导；明确责任，分工协作；依法依规，稳步推进；广泛宣传，营造氛围；创新模式，便民利民；强化督查，严格奖惩六个方面进行了强调，为</w:t>
      </w:r>
      <w:r>
        <w:rPr>
          <w:rFonts w:hint="eastAsia" w:ascii="仿宋_GB2312" w:hAnsi="仿宋_GB2312" w:eastAsia="仿宋_GB2312" w:cs="仿宋_GB2312"/>
          <w:color w:val="000000"/>
          <w:sz w:val="32"/>
          <w:szCs w:val="32"/>
          <w:shd w:val="clear" w:color="auto" w:fill="FFFFFF"/>
        </w:rPr>
        <w:t>《</w:t>
      </w:r>
      <w:r>
        <w:rPr>
          <w:rStyle w:val="8"/>
          <w:rFonts w:hint="eastAsia" w:ascii="仿宋_GB2312" w:hAnsi="仿宋_GB2312" w:eastAsia="仿宋_GB2312" w:cs="仿宋_GB2312"/>
          <w:bCs/>
          <w:spacing w:val="30"/>
          <w:sz w:val="32"/>
          <w:szCs w:val="32"/>
          <w:lang w:bidi="ar"/>
        </w:rPr>
        <w:t>方案</w:t>
      </w:r>
      <w:r>
        <w:rPr>
          <w:rFonts w:hint="eastAsia" w:ascii="仿宋_GB2312" w:hAnsi="仿宋_GB2312" w:eastAsia="仿宋_GB2312" w:cs="仿宋_GB2312"/>
          <w:color w:val="000000"/>
          <w:sz w:val="32"/>
          <w:szCs w:val="32"/>
          <w:shd w:val="clear" w:color="auto" w:fill="FFFFFF"/>
        </w:rPr>
        <w:t>》的顺利实施提供了保障。</w:t>
      </w:r>
    </w:p>
    <w:p>
      <w:pPr>
        <w:spacing w:line="578" w:lineRule="exact"/>
        <w:ind w:firstLine="5440" w:firstLineChars="1700"/>
        <w:rPr>
          <w:rFonts w:ascii="仿宋_GB2312" w:hAnsi="仿宋_GB2312" w:eastAsia="仿宋_GB2312" w:cs="仿宋_GB2312"/>
          <w:sz w:val="32"/>
        </w:rPr>
      </w:pPr>
      <w:bookmarkStart w:id="0" w:name="_GoBack"/>
      <w:bookmarkEnd w:id="0"/>
      <w:r>
        <w:rPr>
          <w:rFonts w:hint="eastAsia" w:ascii="仿宋_GB2312" w:hAnsi="仿宋_GB2312" w:eastAsia="仿宋_GB2312" w:cs="仿宋_GB2312"/>
          <w:sz w:val="32"/>
        </w:rPr>
        <w:t>新蔡县城市管理局</w:t>
      </w:r>
    </w:p>
    <w:p>
      <w:pPr>
        <w:spacing w:line="578" w:lineRule="exact"/>
        <w:jc w:val="center"/>
      </w:pPr>
      <w:r>
        <w:rPr>
          <w:rFonts w:hint="eastAsia" w:ascii="仿宋_GB2312" w:hAnsi="仿宋_GB2312" w:eastAsia="仿宋_GB2312" w:cs="仿宋_GB2312"/>
          <w:sz w:val="32"/>
        </w:rPr>
        <w:t xml:space="preserve">                              2022年1</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 xml:space="preserve">日 </w:t>
      </w:r>
    </w:p>
    <w:p/>
    <w:sectPr>
      <w:footerReference r:id="rId3" w:type="default"/>
      <w:pgSz w:w="11906" w:h="16838"/>
      <w:pgMar w:top="2098" w:right="1531"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2260F"/>
    <w:multiLevelType w:val="singleLevel"/>
    <w:tmpl w:val="62B2260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ZTNmMTNkNGE4NTY1NTQ3ZjIxNzM3YjgyZWYwYzkifQ=="/>
  </w:docVars>
  <w:rsids>
    <w:rsidRoot w:val="00022654"/>
    <w:rsid w:val="00022654"/>
    <w:rsid w:val="00D6677C"/>
    <w:rsid w:val="00FE26C7"/>
    <w:rsid w:val="12CA5A2F"/>
    <w:rsid w:val="35B1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unhideWhenUsed/>
    <w:qFormat/>
    <w:uiPriority w:val="99"/>
    <w:pPr>
      <w:ind w:firstLine="420" w:firstLineChars="200"/>
    </w:pPr>
  </w:style>
  <w:style w:type="paragraph" w:styleId="3">
    <w:name w:val="Body Text Indent"/>
    <w:basedOn w:val="1"/>
    <w:link w:val="9"/>
    <w:semiHidden/>
    <w:unhideWhenUsed/>
    <w:uiPriority w:val="99"/>
    <w:pPr>
      <w:spacing w:after="120"/>
      <w:ind w:left="420" w:leftChars="2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character" w:customStyle="1" w:styleId="9">
    <w:name w:val="正文文本缩进 Char"/>
    <w:basedOn w:val="7"/>
    <w:link w:val="3"/>
    <w:semiHidden/>
    <w:uiPriority w:val="99"/>
    <w:rPr>
      <w:rFonts w:ascii="Calibri" w:hAnsi="Calibri" w:eastAsia="宋体" w:cs="Times New Roman"/>
      <w:szCs w:val="24"/>
    </w:rPr>
  </w:style>
  <w:style w:type="character" w:customStyle="1" w:styleId="10">
    <w:name w:val="正文首行缩进 2 Char"/>
    <w:basedOn w:val="9"/>
    <w:link w:val="2"/>
    <w:uiPriority w:val="99"/>
    <w:rPr>
      <w:rFonts w:ascii="Calibri" w:hAnsi="Calibri" w:eastAsia="宋体" w:cs="Times New Roman"/>
      <w:szCs w:val="24"/>
    </w:rPr>
  </w:style>
  <w:style w:type="character" w:customStyle="1" w:styleId="11">
    <w:name w:val="页脚 Char"/>
    <w:basedOn w:val="7"/>
    <w:link w:val="4"/>
    <w:uiPriority w:val="99"/>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1250</Words>
  <Characters>1285</Characters>
  <Lines>9</Lines>
  <Paragraphs>2</Paragraphs>
  <TotalTime>8</TotalTime>
  <ScaleCrop>false</ScaleCrop>
  <LinksUpToDate>false</LinksUpToDate>
  <CharactersWithSpaces>1316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2022-11-30T07:58:00Z</dcterms:created>
  <dc:creator>wei</dc:creator>
  <cp:lastModifiedBy>Administrator</cp:lastModifiedBy>
  <cp:lastPrinted>2022-11-30T07:59:00Z</cp:lastPrinted>
  <dcterms:modified xsi:type="dcterms:W3CDTF">2023-01-29T06:58:53Z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35A5B6246BB64BC9968194A70E624B59</vt:lpwstr>
  </property>
</Properties>
</file>